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B6653" w14:textId="77777777" w:rsidR="00D0162B" w:rsidRPr="00A96067" w:rsidRDefault="00D0162B" w:rsidP="00D941C1">
      <w:pPr>
        <w:jc w:val="center"/>
        <w:rPr>
          <w:rFonts w:cs="Times New Roman"/>
          <w:b/>
          <w:sz w:val="22"/>
        </w:rPr>
      </w:pPr>
      <w:r w:rsidRPr="00A96067">
        <w:rPr>
          <w:rFonts w:cs="Times New Roman"/>
          <w:b/>
          <w:sz w:val="22"/>
        </w:rPr>
        <w:t xml:space="preserve">Committee on Instruction </w:t>
      </w:r>
      <w:r w:rsidR="00D941C1" w:rsidRPr="00A96067">
        <w:rPr>
          <w:rFonts w:cs="Times New Roman"/>
          <w:b/>
          <w:sz w:val="22"/>
        </w:rPr>
        <w:t>Five Year Course Review</w:t>
      </w:r>
    </w:p>
    <w:p w14:paraId="2841809B" w14:textId="77777777" w:rsidR="00D0162B" w:rsidRPr="00A96067" w:rsidRDefault="00E80937" w:rsidP="00D0162B">
      <w:pPr>
        <w:jc w:val="center"/>
        <w:rPr>
          <w:rFonts w:cs="Times New Roman"/>
          <w:sz w:val="22"/>
        </w:rPr>
      </w:pPr>
      <w:r>
        <w:rPr>
          <w:rFonts w:cs="Times New Roman"/>
          <w:b/>
          <w:sz w:val="22"/>
        </w:rPr>
        <w:t>Humanities</w:t>
      </w:r>
    </w:p>
    <w:p w14:paraId="73EF76EC" w14:textId="77777777" w:rsidR="00D0162B" w:rsidRPr="00A96067" w:rsidRDefault="00D0162B" w:rsidP="00D0162B">
      <w:pPr>
        <w:rPr>
          <w:rFonts w:cs="Times New Roman"/>
          <w:sz w:val="22"/>
        </w:rPr>
      </w:pPr>
    </w:p>
    <w:p w14:paraId="44B239EA" w14:textId="252A8347" w:rsidR="00A96067" w:rsidRPr="00A96067" w:rsidRDefault="00D0162B" w:rsidP="00A96067">
      <w:pPr>
        <w:rPr>
          <w:rFonts w:cs="Times New Roman"/>
          <w:i/>
          <w:sz w:val="22"/>
        </w:rPr>
      </w:pPr>
      <w:r w:rsidRPr="00A96067">
        <w:rPr>
          <w:rFonts w:cs="Times New Roman"/>
          <w:i/>
          <w:sz w:val="22"/>
        </w:rPr>
        <w:t xml:space="preserve">Courses in </w:t>
      </w:r>
      <w:r w:rsidR="00E80937">
        <w:rPr>
          <w:rFonts w:cs="Times New Roman"/>
          <w:i/>
          <w:sz w:val="22"/>
        </w:rPr>
        <w:t>Humanities</w:t>
      </w:r>
      <w:r w:rsidR="00CF530D">
        <w:rPr>
          <w:rFonts w:cs="Times New Roman"/>
          <w:i/>
          <w:sz w:val="22"/>
        </w:rPr>
        <w:t xml:space="preserve"> </w:t>
      </w:r>
      <w:r w:rsidRPr="00A96067">
        <w:rPr>
          <w:rFonts w:cs="Times New Roman"/>
          <w:i/>
          <w:sz w:val="22"/>
        </w:rPr>
        <w:t xml:space="preserve">undergo comprehensive reviews by the Faculty Senate Committee on Instruction in Spring of years ending in </w:t>
      </w:r>
      <w:r w:rsidR="00E80937">
        <w:rPr>
          <w:rFonts w:cs="Times New Roman"/>
          <w:i/>
          <w:sz w:val="22"/>
        </w:rPr>
        <w:t>3</w:t>
      </w:r>
      <w:r w:rsidR="00690077" w:rsidRPr="00A96067">
        <w:rPr>
          <w:rFonts w:cs="Times New Roman"/>
          <w:i/>
          <w:sz w:val="22"/>
        </w:rPr>
        <w:t xml:space="preserve"> or </w:t>
      </w:r>
      <w:r w:rsidR="00E80937">
        <w:rPr>
          <w:rFonts w:cs="Times New Roman"/>
          <w:i/>
          <w:sz w:val="22"/>
        </w:rPr>
        <w:t>8</w:t>
      </w:r>
      <w:r w:rsidRPr="00A96067">
        <w:rPr>
          <w:rFonts w:cs="Times New Roman"/>
          <w:i/>
          <w:sz w:val="22"/>
        </w:rPr>
        <w:t>.</w:t>
      </w:r>
      <w:r w:rsidR="009474BD" w:rsidRPr="00A96067">
        <w:rPr>
          <w:rFonts w:cs="Times New Roman"/>
          <w:i/>
          <w:sz w:val="22"/>
        </w:rPr>
        <w:t xml:space="preserve"> </w:t>
      </w:r>
      <w:r w:rsidR="00A96067" w:rsidRPr="00A96067">
        <w:rPr>
          <w:rFonts w:cs="Times New Roman"/>
          <w:i/>
          <w:sz w:val="22"/>
        </w:rPr>
        <w:t xml:space="preserve">The comprehensive review serves as justification for a course’s continued inclusion in the General Education Core curriculum. A course review packet consists of (1) this completed form and (2) a copy of the most recent syllabus for this course. Once you have assembled the review packet, submit the packet to the current Chair of the Faculty Senate Committee on Instruction and to </w:t>
      </w:r>
      <w:r w:rsidR="00FB7B44">
        <w:rPr>
          <w:rFonts w:cs="Times New Roman"/>
          <w:i/>
          <w:sz w:val="22"/>
        </w:rPr>
        <w:t>Patty Flowers</w:t>
      </w:r>
      <w:r w:rsidR="00A96067" w:rsidRPr="00A96067">
        <w:rPr>
          <w:rFonts w:cs="Times New Roman"/>
          <w:i/>
          <w:sz w:val="22"/>
        </w:rPr>
        <w:t xml:space="preserve"> (</w:t>
      </w:r>
      <w:hyperlink r:id="rId6" w:history="1">
        <w:r w:rsidR="00FB7B44" w:rsidRPr="00AB2F8A">
          <w:rPr>
            <w:rStyle w:val="Hyperlink"/>
            <w:rFonts w:cs="Times New Roman"/>
            <w:i/>
            <w:sz w:val="22"/>
          </w:rPr>
          <w:t>pflowers@utm.edu</w:t>
        </w:r>
      </w:hyperlink>
      <w:r w:rsidR="00A96067" w:rsidRPr="00A96067">
        <w:rPr>
          <w:rFonts w:cs="Times New Roman"/>
          <w:i/>
          <w:sz w:val="22"/>
        </w:rPr>
        <w:t>). The Faculty Senate web page lists the current committee chairs and committee memberships (see the “Faculty Senate and Committee Memberships” link). Packets are due by January 31 of the review year.</w:t>
      </w:r>
    </w:p>
    <w:p w14:paraId="04649B5B" w14:textId="77777777" w:rsidR="00D0162B" w:rsidRPr="00A96067"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A96067" w14:paraId="1A6D9E84" w14:textId="77777777" w:rsidTr="00D0162B">
        <w:tc>
          <w:tcPr>
            <w:tcW w:w="985" w:type="dxa"/>
          </w:tcPr>
          <w:p w14:paraId="22A8A144" w14:textId="77777777" w:rsidR="00D0162B" w:rsidRPr="00A96067" w:rsidRDefault="00D0162B" w:rsidP="00D0162B">
            <w:pPr>
              <w:rPr>
                <w:rFonts w:cs="Times New Roman"/>
                <w:sz w:val="22"/>
              </w:rPr>
            </w:pPr>
            <w:r w:rsidRPr="00A96067">
              <w:rPr>
                <w:rFonts w:cs="Times New Roman"/>
                <w:sz w:val="22"/>
              </w:rPr>
              <w:t>Course:</w:t>
            </w:r>
          </w:p>
        </w:tc>
        <w:tc>
          <w:tcPr>
            <w:tcW w:w="4230" w:type="dxa"/>
            <w:gridSpan w:val="2"/>
            <w:tcBorders>
              <w:bottom w:val="single" w:sz="4" w:space="0" w:color="auto"/>
            </w:tcBorders>
          </w:tcPr>
          <w:p w14:paraId="3A3F71D0" w14:textId="77777777" w:rsidR="00D0162B" w:rsidRPr="00A96067" w:rsidRDefault="00D0162B" w:rsidP="00D0162B">
            <w:pPr>
              <w:rPr>
                <w:rFonts w:cs="Times New Roman"/>
                <w:sz w:val="22"/>
              </w:rPr>
            </w:pPr>
          </w:p>
        </w:tc>
        <w:tc>
          <w:tcPr>
            <w:tcW w:w="1797" w:type="dxa"/>
            <w:vAlign w:val="center"/>
          </w:tcPr>
          <w:p w14:paraId="2EFE16AC" w14:textId="77777777" w:rsidR="00D0162B" w:rsidRPr="00A96067" w:rsidRDefault="00D0162B" w:rsidP="00D0162B">
            <w:pPr>
              <w:jc w:val="right"/>
              <w:rPr>
                <w:rFonts w:cs="Times New Roman"/>
                <w:sz w:val="22"/>
              </w:rPr>
            </w:pPr>
            <w:r w:rsidRPr="00A96067">
              <w:rPr>
                <w:rFonts w:cs="Times New Roman"/>
                <w:sz w:val="22"/>
              </w:rPr>
              <w:t>Date Submitted:</w:t>
            </w:r>
          </w:p>
        </w:tc>
        <w:tc>
          <w:tcPr>
            <w:tcW w:w="2338" w:type="dxa"/>
            <w:tcBorders>
              <w:bottom w:val="single" w:sz="4" w:space="0" w:color="auto"/>
            </w:tcBorders>
          </w:tcPr>
          <w:p w14:paraId="64B8A3B7" w14:textId="77777777" w:rsidR="00D0162B" w:rsidRPr="00A96067" w:rsidRDefault="00D0162B" w:rsidP="00D0162B">
            <w:pPr>
              <w:rPr>
                <w:rFonts w:cs="Times New Roman"/>
                <w:sz w:val="22"/>
              </w:rPr>
            </w:pPr>
          </w:p>
        </w:tc>
      </w:tr>
      <w:tr w:rsidR="00D0162B" w:rsidRPr="00A96067" w14:paraId="7DB80010" w14:textId="77777777" w:rsidTr="00D0162B">
        <w:tc>
          <w:tcPr>
            <w:tcW w:w="1435" w:type="dxa"/>
            <w:gridSpan w:val="2"/>
          </w:tcPr>
          <w:p w14:paraId="7A66EB2B" w14:textId="77777777" w:rsidR="009474BD" w:rsidRPr="00A96067" w:rsidRDefault="009474BD" w:rsidP="00D0162B">
            <w:pPr>
              <w:rPr>
                <w:rFonts w:cs="Times New Roman"/>
                <w:sz w:val="22"/>
              </w:rPr>
            </w:pPr>
          </w:p>
          <w:p w14:paraId="5958B9D2" w14:textId="77777777" w:rsidR="00D0162B" w:rsidRPr="00A96067" w:rsidRDefault="00D0162B" w:rsidP="00D0162B">
            <w:pPr>
              <w:rPr>
                <w:rFonts w:cs="Times New Roman"/>
                <w:sz w:val="22"/>
              </w:rPr>
            </w:pPr>
            <w:r w:rsidRPr="00A96067">
              <w:rPr>
                <w:rFonts w:cs="Times New Roman"/>
                <w:sz w:val="22"/>
              </w:rPr>
              <w:t>Department:</w:t>
            </w:r>
          </w:p>
        </w:tc>
        <w:tc>
          <w:tcPr>
            <w:tcW w:w="3780" w:type="dxa"/>
            <w:tcBorders>
              <w:bottom w:val="single" w:sz="4" w:space="0" w:color="auto"/>
            </w:tcBorders>
          </w:tcPr>
          <w:p w14:paraId="3BDD8807" w14:textId="77777777" w:rsidR="00D0162B" w:rsidRPr="00A96067" w:rsidRDefault="00D0162B" w:rsidP="00D0162B">
            <w:pPr>
              <w:rPr>
                <w:rFonts w:cs="Times New Roman"/>
                <w:sz w:val="22"/>
              </w:rPr>
            </w:pPr>
          </w:p>
        </w:tc>
        <w:tc>
          <w:tcPr>
            <w:tcW w:w="1797" w:type="dxa"/>
            <w:vAlign w:val="center"/>
          </w:tcPr>
          <w:p w14:paraId="3CB84D1C" w14:textId="77777777" w:rsidR="009474BD" w:rsidRPr="00A96067" w:rsidRDefault="009474BD" w:rsidP="00D0162B">
            <w:pPr>
              <w:jc w:val="right"/>
              <w:rPr>
                <w:rFonts w:cs="Times New Roman"/>
                <w:sz w:val="22"/>
              </w:rPr>
            </w:pPr>
          </w:p>
          <w:p w14:paraId="0572F97A" w14:textId="77777777" w:rsidR="00D0162B" w:rsidRPr="00A96067" w:rsidRDefault="00D0162B" w:rsidP="00D0162B">
            <w:pPr>
              <w:jc w:val="right"/>
              <w:rPr>
                <w:rFonts w:cs="Times New Roman"/>
                <w:sz w:val="22"/>
              </w:rPr>
            </w:pPr>
            <w:r w:rsidRPr="00A96067">
              <w:rPr>
                <w:rFonts w:cs="Times New Roman"/>
                <w:sz w:val="22"/>
              </w:rPr>
              <w:t>Contact Person:</w:t>
            </w:r>
          </w:p>
        </w:tc>
        <w:tc>
          <w:tcPr>
            <w:tcW w:w="2338" w:type="dxa"/>
            <w:tcBorders>
              <w:top w:val="single" w:sz="4" w:space="0" w:color="auto"/>
              <w:bottom w:val="single" w:sz="4" w:space="0" w:color="auto"/>
            </w:tcBorders>
          </w:tcPr>
          <w:p w14:paraId="26D969AE" w14:textId="77777777" w:rsidR="00D0162B" w:rsidRPr="00A96067" w:rsidRDefault="00D0162B" w:rsidP="00D0162B">
            <w:pPr>
              <w:rPr>
                <w:rFonts w:cs="Times New Roman"/>
                <w:sz w:val="22"/>
              </w:rPr>
            </w:pPr>
          </w:p>
        </w:tc>
      </w:tr>
    </w:tbl>
    <w:p w14:paraId="16E76D70" w14:textId="77777777" w:rsidR="00D0162B" w:rsidRPr="00A96067" w:rsidRDefault="00D0162B" w:rsidP="009474BD">
      <w:pPr>
        <w:rPr>
          <w:rFonts w:cs="Times New Roman"/>
          <w:sz w:val="22"/>
        </w:rPr>
      </w:pPr>
    </w:p>
    <w:p w14:paraId="7E114CEE" w14:textId="203CC494" w:rsidR="00690077" w:rsidRDefault="00D0162B" w:rsidP="00D0162B">
      <w:pPr>
        <w:rPr>
          <w:rFonts w:cs="Times New Roman"/>
          <w:b/>
          <w:sz w:val="22"/>
        </w:rPr>
      </w:pPr>
      <w:r w:rsidRPr="00A96067">
        <w:rPr>
          <w:rFonts w:cs="Times New Roman"/>
          <w:b/>
          <w:sz w:val="22"/>
        </w:rPr>
        <w:t>The table</w:t>
      </w:r>
      <w:r w:rsidR="00690077" w:rsidRPr="00A96067">
        <w:rPr>
          <w:rFonts w:cs="Times New Roman"/>
          <w:b/>
          <w:sz w:val="22"/>
        </w:rPr>
        <w:t>s below list</w:t>
      </w:r>
      <w:r w:rsidRPr="00A96067">
        <w:rPr>
          <w:rFonts w:cs="Times New Roman"/>
          <w:b/>
          <w:sz w:val="22"/>
        </w:rPr>
        <w:t xml:space="preserve"> the student learning outcomes for </w:t>
      </w:r>
      <w:r w:rsidR="00E80937">
        <w:rPr>
          <w:rFonts w:cs="Times New Roman"/>
          <w:b/>
          <w:sz w:val="22"/>
        </w:rPr>
        <w:t>Humanities</w:t>
      </w:r>
      <w:r w:rsidR="00690077" w:rsidRPr="00A96067">
        <w:rPr>
          <w:rFonts w:cs="Times New Roman"/>
          <w:b/>
          <w:sz w:val="22"/>
        </w:rPr>
        <w:t xml:space="preserve"> effective </w:t>
      </w:r>
      <w:r w:rsidR="00F22DE3" w:rsidRPr="00A96067">
        <w:rPr>
          <w:rFonts w:cs="Times New Roman"/>
          <w:b/>
          <w:sz w:val="22"/>
        </w:rPr>
        <w:t>with the</w:t>
      </w:r>
      <w:r w:rsidR="00690077" w:rsidRPr="00A96067">
        <w:rPr>
          <w:rFonts w:cs="Times New Roman"/>
          <w:b/>
          <w:sz w:val="22"/>
        </w:rPr>
        <w:t xml:space="preserve"> 2018-19</w:t>
      </w:r>
      <w:r w:rsidR="00F62257">
        <w:rPr>
          <w:rFonts w:cs="Times New Roman"/>
          <w:b/>
          <w:sz w:val="22"/>
        </w:rPr>
        <w:t xml:space="preserve"> academic year</w:t>
      </w:r>
      <w:r w:rsidR="00FB7B44">
        <w:rPr>
          <w:rFonts w:cs="Times New Roman"/>
          <w:b/>
          <w:sz w:val="22"/>
        </w:rPr>
        <w:t>.</w:t>
      </w:r>
    </w:p>
    <w:p w14:paraId="564E280C" w14:textId="77777777" w:rsidR="00FB7B44" w:rsidRPr="00A96067" w:rsidRDefault="00FB7B44" w:rsidP="00D0162B">
      <w:pPr>
        <w:rPr>
          <w:rFonts w:cs="Times New Roman"/>
          <w:b/>
          <w:sz w:val="22"/>
        </w:rPr>
      </w:pPr>
    </w:p>
    <w:p w14:paraId="78C13188" w14:textId="77777777" w:rsidR="00D0162B" w:rsidRPr="00A96067" w:rsidRDefault="00D0162B" w:rsidP="00D0162B">
      <w:pPr>
        <w:rPr>
          <w:rFonts w:cs="Times New Roman"/>
          <w:b/>
          <w:sz w:val="22"/>
        </w:rPr>
      </w:pPr>
      <w:r w:rsidRPr="00A96067">
        <w:rPr>
          <w:rFonts w:cs="Times New Roman"/>
          <w:b/>
          <w:sz w:val="22"/>
        </w:rPr>
        <w:t xml:space="preserve">For each outcome, </w:t>
      </w:r>
      <w:r w:rsidR="00D941C1" w:rsidRPr="00A96067">
        <w:rPr>
          <w:rFonts w:cs="Times New Roman"/>
          <w:b/>
          <w:sz w:val="22"/>
        </w:rPr>
        <w:t>indicate</w:t>
      </w:r>
      <w:r w:rsidRPr="00A96067">
        <w:rPr>
          <w:rFonts w:cs="Times New Roman"/>
          <w:b/>
          <w:sz w:val="22"/>
        </w:rPr>
        <w:t xml:space="preserve"> whether </w:t>
      </w:r>
      <w:r w:rsidR="00CF072D" w:rsidRPr="00A96067">
        <w:rPr>
          <w:rFonts w:cs="Times New Roman"/>
          <w:b/>
          <w:sz w:val="22"/>
        </w:rPr>
        <w:t>assessment</w:t>
      </w:r>
      <w:r w:rsidRPr="00A96067">
        <w:rPr>
          <w:rFonts w:cs="Times New Roman"/>
          <w:b/>
          <w:sz w:val="22"/>
        </w:rPr>
        <w:t xml:space="preserve"> benchmark(s) have been </w:t>
      </w:r>
      <w:r w:rsidR="00D941C1" w:rsidRPr="00A96067">
        <w:rPr>
          <w:rFonts w:cs="Times New Roman"/>
          <w:b/>
          <w:sz w:val="22"/>
        </w:rPr>
        <w:t>MET</w:t>
      </w:r>
      <w:r w:rsidRPr="00A96067">
        <w:rPr>
          <w:rFonts w:cs="Times New Roman"/>
          <w:b/>
          <w:sz w:val="22"/>
        </w:rPr>
        <w:t xml:space="preserve"> or </w:t>
      </w:r>
      <w:r w:rsidR="00D941C1" w:rsidRPr="00A96067">
        <w:rPr>
          <w:rFonts w:cs="Times New Roman"/>
          <w:b/>
          <w:sz w:val="22"/>
        </w:rPr>
        <w:t>NOT MET</w:t>
      </w:r>
      <w:r w:rsidRPr="00A96067">
        <w:rPr>
          <w:rFonts w:cs="Times New Roman"/>
          <w:b/>
          <w:sz w:val="22"/>
        </w:rPr>
        <w:t xml:space="preserve"> for each of the five previous years. </w:t>
      </w:r>
      <w:r w:rsidR="00D941C1" w:rsidRPr="00A96067">
        <w:rPr>
          <w:rFonts w:cs="Times New Roman"/>
          <w:b/>
          <w:sz w:val="22"/>
        </w:rPr>
        <w:t>If assessments for an outcome were not conducted during a particular year, indicate so by typing NA.</w:t>
      </w:r>
    </w:p>
    <w:p w14:paraId="26961DFA" w14:textId="77777777" w:rsidR="00D0162B" w:rsidRPr="00A96067" w:rsidRDefault="00D0162B" w:rsidP="00D0162B">
      <w:pPr>
        <w:rPr>
          <w:rFonts w:cs="Times New Roman"/>
          <w:sz w:val="22"/>
        </w:rPr>
      </w:pPr>
    </w:p>
    <w:p w14:paraId="1C097BDF" w14:textId="77777777" w:rsidR="00D0162B" w:rsidRPr="00A96067" w:rsidRDefault="00D0162B" w:rsidP="00D0162B">
      <w:pPr>
        <w:rPr>
          <w:rFonts w:cs="Times New Roman"/>
          <w:sz w:val="22"/>
        </w:rPr>
      </w:pPr>
    </w:p>
    <w:p w14:paraId="32E1D92D" w14:textId="77777777" w:rsidR="00EB6845" w:rsidRPr="00A96067" w:rsidRDefault="00EB6845" w:rsidP="00D0162B">
      <w:pPr>
        <w:rPr>
          <w:rFonts w:cs="Times New Roman"/>
          <w:sz w:val="22"/>
        </w:rPr>
      </w:pPr>
    </w:p>
    <w:tbl>
      <w:tblPr>
        <w:tblStyle w:val="TableGrid"/>
        <w:tblW w:w="9350" w:type="dxa"/>
        <w:tblLook w:val="04A0" w:firstRow="1" w:lastRow="0" w:firstColumn="1" w:lastColumn="0" w:noHBand="0" w:noVBand="1"/>
      </w:tblPr>
      <w:tblGrid>
        <w:gridCol w:w="4135"/>
        <w:gridCol w:w="1260"/>
        <w:gridCol w:w="1012"/>
        <w:gridCol w:w="968"/>
        <w:gridCol w:w="990"/>
        <w:gridCol w:w="985"/>
      </w:tblGrid>
      <w:tr w:rsidR="00E80937" w:rsidRPr="00A96067" w14:paraId="79A7C6AB" w14:textId="77777777" w:rsidTr="00E80937">
        <w:tc>
          <w:tcPr>
            <w:tcW w:w="4135" w:type="dxa"/>
            <w:vMerge w:val="restart"/>
            <w:shd w:val="clear" w:color="auto" w:fill="DEEAF6" w:themeFill="accent1" w:themeFillTint="33"/>
            <w:vAlign w:val="center"/>
          </w:tcPr>
          <w:p w14:paraId="1D5571E9" w14:textId="77777777" w:rsidR="00E80937" w:rsidRPr="00A96067" w:rsidRDefault="00E80937" w:rsidP="00F22DE3">
            <w:pPr>
              <w:jc w:val="center"/>
              <w:rPr>
                <w:rFonts w:cs="Times New Roman"/>
                <w:b/>
                <w:sz w:val="22"/>
              </w:rPr>
            </w:pPr>
            <w:r w:rsidRPr="00A96067">
              <w:rPr>
                <w:rFonts w:cs="Times New Roman"/>
                <w:b/>
                <w:sz w:val="22"/>
              </w:rPr>
              <w:t>Outcome (beginning with 2018-19 catalog)</w:t>
            </w:r>
          </w:p>
        </w:tc>
        <w:tc>
          <w:tcPr>
            <w:tcW w:w="5215" w:type="dxa"/>
            <w:gridSpan w:val="5"/>
            <w:shd w:val="clear" w:color="auto" w:fill="DEEAF6" w:themeFill="accent1" w:themeFillTint="33"/>
            <w:vAlign w:val="center"/>
          </w:tcPr>
          <w:p w14:paraId="71FFB3F6" w14:textId="77777777" w:rsidR="00E80937" w:rsidRPr="00A96067" w:rsidRDefault="00E80937" w:rsidP="00232665">
            <w:pPr>
              <w:jc w:val="center"/>
              <w:rPr>
                <w:rFonts w:cs="Times New Roman"/>
                <w:b/>
                <w:sz w:val="22"/>
              </w:rPr>
            </w:pPr>
            <w:r w:rsidRPr="00A96067">
              <w:rPr>
                <w:rFonts w:cs="Times New Roman"/>
                <w:b/>
                <w:sz w:val="22"/>
              </w:rPr>
              <w:t>Results from:</w:t>
            </w:r>
          </w:p>
        </w:tc>
      </w:tr>
      <w:tr w:rsidR="00E80937" w:rsidRPr="00A96067" w14:paraId="087D23DD" w14:textId="77777777" w:rsidTr="00E80937">
        <w:tc>
          <w:tcPr>
            <w:tcW w:w="4135" w:type="dxa"/>
            <w:vMerge/>
            <w:shd w:val="clear" w:color="auto" w:fill="DEEAF6" w:themeFill="accent1" w:themeFillTint="33"/>
            <w:vAlign w:val="center"/>
          </w:tcPr>
          <w:p w14:paraId="347D9A50" w14:textId="77777777" w:rsidR="00E80937" w:rsidRPr="00A96067" w:rsidRDefault="00E80937" w:rsidP="00232665">
            <w:pPr>
              <w:jc w:val="center"/>
              <w:rPr>
                <w:rFonts w:cs="Times New Roman"/>
                <w:b/>
                <w:sz w:val="22"/>
              </w:rPr>
            </w:pPr>
          </w:p>
        </w:tc>
        <w:tc>
          <w:tcPr>
            <w:tcW w:w="1260" w:type="dxa"/>
            <w:shd w:val="clear" w:color="auto" w:fill="DEEAF6" w:themeFill="accent1" w:themeFillTint="33"/>
            <w:vAlign w:val="center"/>
          </w:tcPr>
          <w:p w14:paraId="5195C335" w14:textId="3E7F4AC8" w:rsidR="00E80937" w:rsidRPr="00A96067" w:rsidRDefault="00E80937" w:rsidP="00232665">
            <w:pPr>
              <w:jc w:val="center"/>
              <w:rPr>
                <w:rFonts w:cs="Times New Roman"/>
                <w:b/>
                <w:sz w:val="22"/>
              </w:rPr>
            </w:pPr>
            <w:r w:rsidRPr="00A96067">
              <w:rPr>
                <w:rFonts w:cs="Times New Roman"/>
                <w:b/>
                <w:sz w:val="22"/>
              </w:rPr>
              <w:t>2017-18</w:t>
            </w:r>
          </w:p>
        </w:tc>
        <w:tc>
          <w:tcPr>
            <w:tcW w:w="1012" w:type="dxa"/>
            <w:shd w:val="clear" w:color="auto" w:fill="DEEAF6" w:themeFill="accent1" w:themeFillTint="33"/>
            <w:vAlign w:val="center"/>
          </w:tcPr>
          <w:p w14:paraId="796EA16A" w14:textId="77777777" w:rsidR="00E80937" w:rsidRPr="00A96067" w:rsidRDefault="00E80937" w:rsidP="00232665">
            <w:pPr>
              <w:jc w:val="center"/>
              <w:rPr>
                <w:rFonts w:cs="Times New Roman"/>
                <w:b/>
                <w:sz w:val="22"/>
              </w:rPr>
            </w:pPr>
            <w:r w:rsidRPr="00A96067">
              <w:rPr>
                <w:rFonts w:cs="Times New Roman"/>
                <w:b/>
                <w:sz w:val="22"/>
              </w:rPr>
              <w:t>2018-19</w:t>
            </w:r>
          </w:p>
        </w:tc>
        <w:tc>
          <w:tcPr>
            <w:tcW w:w="968" w:type="dxa"/>
            <w:shd w:val="clear" w:color="auto" w:fill="DEEAF6" w:themeFill="accent1" w:themeFillTint="33"/>
            <w:vAlign w:val="center"/>
          </w:tcPr>
          <w:p w14:paraId="2433658E" w14:textId="77777777" w:rsidR="00E80937" w:rsidRPr="00A96067" w:rsidRDefault="00E80937" w:rsidP="00EB6845">
            <w:pPr>
              <w:jc w:val="center"/>
              <w:rPr>
                <w:rFonts w:cs="Times New Roman"/>
                <w:b/>
                <w:sz w:val="22"/>
              </w:rPr>
            </w:pPr>
            <w:r>
              <w:rPr>
                <w:rFonts w:cs="Times New Roman"/>
                <w:b/>
                <w:sz w:val="22"/>
              </w:rPr>
              <w:t>2019-20</w:t>
            </w:r>
          </w:p>
        </w:tc>
        <w:tc>
          <w:tcPr>
            <w:tcW w:w="990" w:type="dxa"/>
            <w:shd w:val="clear" w:color="auto" w:fill="DEEAF6" w:themeFill="accent1" w:themeFillTint="33"/>
            <w:vAlign w:val="center"/>
          </w:tcPr>
          <w:p w14:paraId="62CBD0C6" w14:textId="77777777" w:rsidR="00E80937" w:rsidRDefault="00E80937" w:rsidP="00CF530D">
            <w:pPr>
              <w:jc w:val="center"/>
              <w:rPr>
                <w:rFonts w:cs="Times New Roman"/>
                <w:b/>
                <w:sz w:val="22"/>
              </w:rPr>
            </w:pPr>
            <w:r>
              <w:rPr>
                <w:rFonts w:cs="Times New Roman"/>
                <w:b/>
                <w:sz w:val="22"/>
              </w:rPr>
              <w:t>2020-21</w:t>
            </w:r>
          </w:p>
        </w:tc>
        <w:tc>
          <w:tcPr>
            <w:tcW w:w="985" w:type="dxa"/>
            <w:shd w:val="clear" w:color="auto" w:fill="DEEAF6" w:themeFill="accent1" w:themeFillTint="33"/>
            <w:vAlign w:val="center"/>
          </w:tcPr>
          <w:p w14:paraId="4015341D" w14:textId="77777777" w:rsidR="00E80937" w:rsidRDefault="00E80937" w:rsidP="00E80937">
            <w:pPr>
              <w:jc w:val="center"/>
              <w:rPr>
                <w:rFonts w:cs="Times New Roman"/>
                <w:b/>
                <w:sz w:val="22"/>
              </w:rPr>
            </w:pPr>
            <w:r>
              <w:rPr>
                <w:rFonts w:cs="Times New Roman"/>
                <w:b/>
                <w:sz w:val="22"/>
              </w:rPr>
              <w:t>2021-22</w:t>
            </w:r>
          </w:p>
        </w:tc>
      </w:tr>
      <w:tr w:rsidR="00E80937" w:rsidRPr="00A96067" w14:paraId="6B66A354" w14:textId="77777777" w:rsidTr="00E80937">
        <w:tc>
          <w:tcPr>
            <w:tcW w:w="4135" w:type="dxa"/>
          </w:tcPr>
          <w:p w14:paraId="43D59B45" w14:textId="77777777" w:rsidR="00E80937" w:rsidRPr="00E80937" w:rsidRDefault="00E80937" w:rsidP="00232665">
            <w:pPr>
              <w:ind w:left="156" w:hanging="156"/>
              <w:rPr>
                <w:rFonts w:cs="Times New Roman"/>
                <w:sz w:val="22"/>
              </w:rPr>
            </w:pPr>
            <w:r w:rsidRPr="00E80937">
              <w:rPr>
                <w:rFonts w:cs="Garamond BookCondensed"/>
                <w:color w:val="221E1F"/>
                <w:sz w:val="22"/>
              </w:rPr>
              <w:t>1. Students will analyze major primary sources of the humanities.</w:t>
            </w:r>
          </w:p>
        </w:tc>
        <w:tc>
          <w:tcPr>
            <w:tcW w:w="1260" w:type="dxa"/>
            <w:vAlign w:val="center"/>
          </w:tcPr>
          <w:p w14:paraId="74B27291" w14:textId="77777777" w:rsidR="00E80937" w:rsidRPr="00A96067" w:rsidRDefault="00E80937" w:rsidP="00561CFF">
            <w:pPr>
              <w:jc w:val="center"/>
              <w:rPr>
                <w:rFonts w:cs="Times New Roman"/>
                <w:sz w:val="22"/>
              </w:rPr>
            </w:pPr>
          </w:p>
        </w:tc>
        <w:tc>
          <w:tcPr>
            <w:tcW w:w="1012" w:type="dxa"/>
            <w:vAlign w:val="center"/>
          </w:tcPr>
          <w:p w14:paraId="7CE20FF8" w14:textId="77777777" w:rsidR="00E80937" w:rsidRPr="00A96067" w:rsidRDefault="00E80937" w:rsidP="00561CFF">
            <w:pPr>
              <w:jc w:val="center"/>
              <w:rPr>
                <w:rFonts w:cs="Times New Roman"/>
                <w:sz w:val="22"/>
              </w:rPr>
            </w:pPr>
          </w:p>
        </w:tc>
        <w:tc>
          <w:tcPr>
            <w:tcW w:w="968" w:type="dxa"/>
            <w:vAlign w:val="center"/>
          </w:tcPr>
          <w:p w14:paraId="078BA17F" w14:textId="77777777" w:rsidR="00E80937" w:rsidRPr="00A96067" w:rsidRDefault="00E80937" w:rsidP="00561CFF">
            <w:pPr>
              <w:jc w:val="center"/>
              <w:rPr>
                <w:rFonts w:cs="Times New Roman"/>
                <w:sz w:val="22"/>
              </w:rPr>
            </w:pPr>
          </w:p>
        </w:tc>
        <w:tc>
          <w:tcPr>
            <w:tcW w:w="990" w:type="dxa"/>
            <w:vAlign w:val="center"/>
          </w:tcPr>
          <w:p w14:paraId="12BF371E" w14:textId="77777777" w:rsidR="00E80937" w:rsidRPr="00A96067" w:rsidRDefault="00E80937" w:rsidP="00561CFF">
            <w:pPr>
              <w:jc w:val="center"/>
              <w:rPr>
                <w:rFonts w:cs="Times New Roman"/>
                <w:sz w:val="22"/>
              </w:rPr>
            </w:pPr>
          </w:p>
        </w:tc>
        <w:tc>
          <w:tcPr>
            <w:tcW w:w="985" w:type="dxa"/>
          </w:tcPr>
          <w:p w14:paraId="4CB2334B" w14:textId="77777777" w:rsidR="00E80937" w:rsidRPr="00A96067" w:rsidRDefault="00E80937" w:rsidP="00561CFF">
            <w:pPr>
              <w:jc w:val="center"/>
              <w:rPr>
                <w:rFonts w:cs="Times New Roman"/>
                <w:sz w:val="22"/>
              </w:rPr>
            </w:pPr>
          </w:p>
        </w:tc>
      </w:tr>
      <w:tr w:rsidR="00E80937" w:rsidRPr="00A96067" w14:paraId="7205D84E" w14:textId="77777777" w:rsidTr="00E80937">
        <w:tc>
          <w:tcPr>
            <w:tcW w:w="4135" w:type="dxa"/>
          </w:tcPr>
          <w:p w14:paraId="5B94BA9C" w14:textId="77777777" w:rsidR="00E80937" w:rsidRPr="00E80937" w:rsidRDefault="00E80937" w:rsidP="00232665">
            <w:pPr>
              <w:ind w:left="156" w:hanging="156"/>
              <w:rPr>
                <w:rFonts w:cs="Times New Roman"/>
                <w:sz w:val="22"/>
              </w:rPr>
            </w:pPr>
            <w:r w:rsidRPr="00E80937">
              <w:rPr>
                <w:rFonts w:cs="Garamond BookCondensed"/>
                <w:color w:val="221E1F"/>
                <w:sz w:val="22"/>
              </w:rPr>
              <w:t>2. Students will examine the diversity of human experience in various humanistic media.</w:t>
            </w:r>
          </w:p>
        </w:tc>
        <w:tc>
          <w:tcPr>
            <w:tcW w:w="1260" w:type="dxa"/>
            <w:vAlign w:val="center"/>
          </w:tcPr>
          <w:p w14:paraId="73C7DE7E" w14:textId="77777777" w:rsidR="00E80937" w:rsidRPr="00A96067" w:rsidRDefault="00E80937" w:rsidP="00561CFF">
            <w:pPr>
              <w:jc w:val="center"/>
              <w:rPr>
                <w:rFonts w:cs="Times New Roman"/>
                <w:sz w:val="22"/>
              </w:rPr>
            </w:pPr>
          </w:p>
        </w:tc>
        <w:tc>
          <w:tcPr>
            <w:tcW w:w="1012" w:type="dxa"/>
            <w:vAlign w:val="center"/>
          </w:tcPr>
          <w:p w14:paraId="55AF7039" w14:textId="77777777" w:rsidR="00E80937" w:rsidRPr="00A96067" w:rsidRDefault="00E80937" w:rsidP="00561CFF">
            <w:pPr>
              <w:jc w:val="center"/>
              <w:rPr>
                <w:rFonts w:cs="Times New Roman"/>
                <w:sz w:val="22"/>
              </w:rPr>
            </w:pPr>
          </w:p>
        </w:tc>
        <w:tc>
          <w:tcPr>
            <w:tcW w:w="968" w:type="dxa"/>
            <w:vAlign w:val="center"/>
          </w:tcPr>
          <w:p w14:paraId="46711CA3" w14:textId="77777777" w:rsidR="00E80937" w:rsidRPr="00A96067" w:rsidRDefault="00E80937" w:rsidP="00561CFF">
            <w:pPr>
              <w:jc w:val="center"/>
              <w:rPr>
                <w:rFonts w:cs="Times New Roman"/>
                <w:sz w:val="22"/>
              </w:rPr>
            </w:pPr>
          </w:p>
        </w:tc>
        <w:tc>
          <w:tcPr>
            <w:tcW w:w="990" w:type="dxa"/>
            <w:vAlign w:val="center"/>
          </w:tcPr>
          <w:p w14:paraId="7C648290" w14:textId="77777777" w:rsidR="00E80937" w:rsidRPr="00A96067" w:rsidRDefault="00E80937" w:rsidP="00561CFF">
            <w:pPr>
              <w:jc w:val="center"/>
              <w:rPr>
                <w:rFonts w:cs="Times New Roman"/>
                <w:sz w:val="22"/>
              </w:rPr>
            </w:pPr>
          </w:p>
        </w:tc>
        <w:tc>
          <w:tcPr>
            <w:tcW w:w="985" w:type="dxa"/>
          </w:tcPr>
          <w:p w14:paraId="36F1B6FD" w14:textId="77777777" w:rsidR="00E80937" w:rsidRPr="00A96067" w:rsidRDefault="00E80937" w:rsidP="00561CFF">
            <w:pPr>
              <w:jc w:val="center"/>
              <w:rPr>
                <w:rFonts w:cs="Times New Roman"/>
                <w:sz w:val="22"/>
              </w:rPr>
            </w:pPr>
          </w:p>
        </w:tc>
      </w:tr>
      <w:tr w:rsidR="00E80937" w:rsidRPr="00A96067" w14:paraId="335ED5D9" w14:textId="77777777" w:rsidTr="00E80937">
        <w:tc>
          <w:tcPr>
            <w:tcW w:w="4135" w:type="dxa"/>
          </w:tcPr>
          <w:p w14:paraId="654824B7" w14:textId="77777777" w:rsidR="00E80937" w:rsidRPr="00E80937" w:rsidRDefault="00E80937" w:rsidP="00232665">
            <w:pPr>
              <w:ind w:left="156" w:hanging="156"/>
              <w:rPr>
                <w:rFonts w:cs="Garamond BookCondensed"/>
                <w:color w:val="211D1E"/>
                <w:sz w:val="22"/>
              </w:rPr>
            </w:pPr>
            <w:r w:rsidRPr="00E80937">
              <w:rPr>
                <w:rFonts w:cs="Garamond BookCondensed"/>
                <w:color w:val="221E1F"/>
                <w:sz w:val="22"/>
              </w:rPr>
              <w:t>3. Students will recognize the continuity and change within the human experience as understood in the humanities.</w:t>
            </w:r>
          </w:p>
        </w:tc>
        <w:tc>
          <w:tcPr>
            <w:tcW w:w="1260" w:type="dxa"/>
            <w:vAlign w:val="center"/>
          </w:tcPr>
          <w:p w14:paraId="1BB56E67" w14:textId="77777777" w:rsidR="00E80937" w:rsidRPr="00A96067" w:rsidRDefault="00E80937" w:rsidP="00561CFF">
            <w:pPr>
              <w:jc w:val="center"/>
              <w:rPr>
                <w:rFonts w:cs="Times New Roman"/>
                <w:sz w:val="22"/>
              </w:rPr>
            </w:pPr>
          </w:p>
        </w:tc>
        <w:tc>
          <w:tcPr>
            <w:tcW w:w="1012" w:type="dxa"/>
            <w:vAlign w:val="center"/>
          </w:tcPr>
          <w:p w14:paraId="1A592ACE" w14:textId="77777777" w:rsidR="00E80937" w:rsidRPr="00A96067" w:rsidRDefault="00E80937" w:rsidP="00561CFF">
            <w:pPr>
              <w:jc w:val="center"/>
              <w:rPr>
                <w:rFonts w:cs="Times New Roman"/>
                <w:sz w:val="22"/>
              </w:rPr>
            </w:pPr>
          </w:p>
        </w:tc>
        <w:tc>
          <w:tcPr>
            <w:tcW w:w="968" w:type="dxa"/>
            <w:vAlign w:val="center"/>
          </w:tcPr>
          <w:p w14:paraId="69CBDBF4" w14:textId="77777777" w:rsidR="00E80937" w:rsidRPr="00A96067" w:rsidRDefault="00E80937" w:rsidP="00561CFF">
            <w:pPr>
              <w:jc w:val="center"/>
              <w:rPr>
                <w:rFonts w:cs="Times New Roman"/>
                <w:sz w:val="22"/>
              </w:rPr>
            </w:pPr>
          </w:p>
        </w:tc>
        <w:tc>
          <w:tcPr>
            <w:tcW w:w="990" w:type="dxa"/>
            <w:vAlign w:val="center"/>
          </w:tcPr>
          <w:p w14:paraId="4CC2058B" w14:textId="77777777" w:rsidR="00E80937" w:rsidRPr="00A96067" w:rsidRDefault="00E80937" w:rsidP="00561CFF">
            <w:pPr>
              <w:jc w:val="center"/>
              <w:rPr>
                <w:rFonts w:cs="Times New Roman"/>
                <w:sz w:val="22"/>
              </w:rPr>
            </w:pPr>
          </w:p>
        </w:tc>
        <w:tc>
          <w:tcPr>
            <w:tcW w:w="985" w:type="dxa"/>
          </w:tcPr>
          <w:p w14:paraId="4A5B8089" w14:textId="77777777" w:rsidR="00E80937" w:rsidRPr="00A96067" w:rsidRDefault="00E80937" w:rsidP="00561CFF">
            <w:pPr>
              <w:jc w:val="center"/>
              <w:rPr>
                <w:rFonts w:cs="Times New Roman"/>
                <w:sz w:val="22"/>
              </w:rPr>
            </w:pPr>
          </w:p>
        </w:tc>
      </w:tr>
    </w:tbl>
    <w:p w14:paraId="6D1DD31C" w14:textId="77777777" w:rsidR="00FB7B44" w:rsidRDefault="00FB7B44" w:rsidP="007D3A1D">
      <w:pPr>
        <w:rPr>
          <w:rFonts w:cs="Times New Roman"/>
          <w:b/>
          <w:sz w:val="22"/>
        </w:rPr>
      </w:pPr>
    </w:p>
    <w:p w14:paraId="1712C203" w14:textId="77777777" w:rsidR="00FB7B44" w:rsidRDefault="00FB7B44" w:rsidP="007D3A1D">
      <w:pPr>
        <w:rPr>
          <w:rFonts w:cs="Times New Roman"/>
          <w:b/>
          <w:sz w:val="22"/>
        </w:rPr>
      </w:pPr>
    </w:p>
    <w:p w14:paraId="178A4BF6" w14:textId="77777777" w:rsidR="00FB7B44" w:rsidRDefault="00FB7B44">
      <w:pPr>
        <w:rPr>
          <w:rFonts w:cs="Times New Roman"/>
          <w:b/>
          <w:sz w:val="22"/>
        </w:rPr>
      </w:pPr>
      <w:r>
        <w:rPr>
          <w:rFonts w:cs="Times New Roman"/>
          <w:b/>
          <w:sz w:val="22"/>
        </w:rPr>
        <w:br w:type="page"/>
      </w:r>
    </w:p>
    <w:p w14:paraId="583EA3A6" w14:textId="45A9A0CA" w:rsidR="00D941C1" w:rsidRPr="00A96067" w:rsidRDefault="00A96067" w:rsidP="007D3A1D">
      <w:pPr>
        <w:rPr>
          <w:rFonts w:cs="Times New Roman"/>
          <w:b/>
          <w:sz w:val="22"/>
        </w:rPr>
      </w:pPr>
      <w:r w:rsidRPr="00A96067">
        <w:rPr>
          <w:rFonts w:cs="Times New Roman"/>
          <w:b/>
          <w:sz w:val="22"/>
        </w:rPr>
        <w:lastRenderedPageBreak/>
        <w:t>Summarize any efforts to enhance student learning that have been implemented in this course during this five-year time period. Where feasible, discuss evidence of how these efforts have impacted student learning. (This narrative should not simply be cut-and-pasted from annual assessment reports. Instead, the narrative should represent the cumulative examination of the past five years of annual assessment and should reflect a broader analysis of the longitudinal results of efforts to enhance student learning in this course.)</w:t>
      </w:r>
    </w:p>
    <w:p w14:paraId="7618EB85" w14:textId="77777777" w:rsidR="00D941C1" w:rsidRPr="00A96067" w:rsidRDefault="00D941C1" w:rsidP="007D3A1D">
      <w:pPr>
        <w:rPr>
          <w:rFonts w:cs="Times New Roman"/>
          <w:sz w:val="22"/>
        </w:rPr>
      </w:pPr>
    </w:p>
    <w:tbl>
      <w:tblPr>
        <w:tblStyle w:val="TableGrid"/>
        <w:tblW w:w="0" w:type="auto"/>
        <w:tblLook w:val="04A0" w:firstRow="1" w:lastRow="0" w:firstColumn="1" w:lastColumn="0" w:noHBand="0" w:noVBand="1"/>
      </w:tblPr>
      <w:tblGrid>
        <w:gridCol w:w="9350"/>
      </w:tblGrid>
      <w:tr w:rsidR="00D941C1" w:rsidRPr="00A96067" w14:paraId="4E6C2E33" w14:textId="77777777" w:rsidTr="00F75B66">
        <w:trPr>
          <w:trHeight w:val="4752"/>
        </w:trPr>
        <w:tc>
          <w:tcPr>
            <w:tcW w:w="9350" w:type="dxa"/>
          </w:tcPr>
          <w:p w14:paraId="351053D0" w14:textId="77777777" w:rsidR="00D941C1" w:rsidRPr="00A96067" w:rsidRDefault="00D941C1" w:rsidP="007D3A1D">
            <w:pPr>
              <w:rPr>
                <w:rFonts w:cs="Times New Roman"/>
                <w:sz w:val="22"/>
              </w:rPr>
            </w:pPr>
          </w:p>
        </w:tc>
      </w:tr>
    </w:tbl>
    <w:p w14:paraId="273539FD" w14:textId="77777777" w:rsidR="006912FB" w:rsidRPr="00A96067" w:rsidRDefault="006912FB" w:rsidP="007D3A1D">
      <w:pPr>
        <w:rPr>
          <w:rFonts w:cs="Times New Roman"/>
          <w:sz w:val="22"/>
        </w:rPr>
      </w:pPr>
    </w:p>
    <w:p w14:paraId="3FFE621F" w14:textId="40BFE4B6" w:rsidR="00A96067" w:rsidRPr="00A96067" w:rsidRDefault="00A96067" w:rsidP="00A96067">
      <w:pPr>
        <w:rPr>
          <w:rFonts w:cs="Times New Roman"/>
          <w:b/>
          <w:sz w:val="22"/>
        </w:rPr>
      </w:pPr>
      <w:r w:rsidRPr="00A96067">
        <w:rPr>
          <w:rFonts w:cs="Times New Roman"/>
          <w:b/>
          <w:sz w:val="22"/>
        </w:rPr>
        <w:t xml:space="preserve">Attach a copy of the most recent syllabus for this course. Submit the completed review packet to the Chair of the Faculty Senate Committee on Instruction and to </w:t>
      </w:r>
      <w:r w:rsidR="008B2256">
        <w:rPr>
          <w:rFonts w:cs="Times New Roman"/>
          <w:b/>
          <w:sz w:val="22"/>
        </w:rPr>
        <w:t>Patty Flowers</w:t>
      </w:r>
      <w:r w:rsidRPr="00A96067">
        <w:rPr>
          <w:rFonts w:cs="Times New Roman"/>
          <w:b/>
          <w:sz w:val="22"/>
        </w:rPr>
        <w:t xml:space="preserve"> (</w:t>
      </w:r>
      <w:hyperlink r:id="rId7" w:history="1">
        <w:r w:rsidR="008B2256">
          <w:rPr>
            <w:rStyle w:val="Hyperlink"/>
            <w:rFonts w:cs="Times New Roman"/>
            <w:b/>
            <w:sz w:val="22"/>
          </w:rPr>
          <w:t>pflowers</w:t>
        </w:r>
        <w:r w:rsidRPr="00A96067">
          <w:rPr>
            <w:rStyle w:val="Hyperlink"/>
            <w:rFonts w:cs="Times New Roman"/>
            <w:b/>
            <w:sz w:val="22"/>
          </w:rPr>
          <w:t>@utm.edu</w:t>
        </w:r>
      </w:hyperlink>
      <w:r w:rsidRPr="00A96067">
        <w:rPr>
          <w:rFonts w:cs="Times New Roman"/>
          <w:b/>
          <w:sz w:val="22"/>
        </w:rPr>
        <w:t>) by January 31 of the review year.</w:t>
      </w:r>
    </w:p>
    <w:p w14:paraId="1D07167B" w14:textId="77777777" w:rsidR="006912FB" w:rsidRPr="00A96067" w:rsidRDefault="006912FB" w:rsidP="007D3A1D">
      <w:pPr>
        <w:rPr>
          <w:rFonts w:cs="Times New Roman"/>
          <w:sz w:val="22"/>
        </w:rPr>
      </w:pPr>
    </w:p>
    <w:sectPr w:rsidR="006912FB" w:rsidRPr="00A96067" w:rsidSect="00F62257">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5282" w14:textId="77777777" w:rsidR="00B51998" w:rsidRDefault="00B51998" w:rsidP="00F22DE3">
      <w:r>
        <w:separator/>
      </w:r>
    </w:p>
  </w:endnote>
  <w:endnote w:type="continuationSeparator" w:id="0">
    <w:p w14:paraId="3B39D7BD" w14:textId="77777777" w:rsidR="00B51998" w:rsidRDefault="00B51998" w:rsidP="00F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380196"/>
      <w:docPartObj>
        <w:docPartGallery w:val="Page Numbers (Bottom of Page)"/>
        <w:docPartUnique/>
      </w:docPartObj>
    </w:sdtPr>
    <w:sdtEndPr/>
    <w:sdtContent>
      <w:sdt>
        <w:sdtPr>
          <w:id w:val="-1769616900"/>
          <w:docPartObj>
            <w:docPartGallery w:val="Page Numbers (Top of Page)"/>
            <w:docPartUnique/>
          </w:docPartObj>
        </w:sdtPr>
        <w:sdtEndPr/>
        <w:sdtContent>
          <w:p w14:paraId="5C0E11BB" w14:textId="77777777" w:rsidR="00F22DE3" w:rsidRDefault="00F22D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6225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62257">
              <w:rPr>
                <w:b/>
                <w:bCs/>
                <w:noProof/>
              </w:rPr>
              <w:t>2</w:t>
            </w:r>
            <w:r>
              <w:rPr>
                <w:b/>
                <w:bCs/>
                <w:szCs w:val="24"/>
              </w:rPr>
              <w:fldChar w:fldCharType="end"/>
            </w:r>
          </w:p>
        </w:sdtContent>
      </w:sdt>
    </w:sdtContent>
  </w:sdt>
  <w:p w14:paraId="22CB194A" w14:textId="77777777" w:rsidR="00F22DE3" w:rsidRDefault="00F2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60520" w14:textId="77777777" w:rsidR="00B51998" w:rsidRDefault="00B51998" w:rsidP="00F22DE3">
      <w:r>
        <w:separator/>
      </w:r>
    </w:p>
  </w:footnote>
  <w:footnote w:type="continuationSeparator" w:id="0">
    <w:p w14:paraId="7A73B78A" w14:textId="77777777" w:rsidR="00B51998" w:rsidRDefault="00B51998" w:rsidP="00F2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1A5E04"/>
    <w:rsid w:val="001B26B0"/>
    <w:rsid w:val="00207965"/>
    <w:rsid w:val="002210D3"/>
    <w:rsid w:val="00277F60"/>
    <w:rsid w:val="002B58BD"/>
    <w:rsid w:val="00307662"/>
    <w:rsid w:val="00561CFF"/>
    <w:rsid w:val="00690077"/>
    <w:rsid w:val="006912FB"/>
    <w:rsid w:val="006A01DA"/>
    <w:rsid w:val="006D6A33"/>
    <w:rsid w:val="006D702F"/>
    <w:rsid w:val="007D3A1D"/>
    <w:rsid w:val="008B2256"/>
    <w:rsid w:val="009474BD"/>
    <w:rsid w:val="009B3B9A"/>
    <w:rsid w:val="00A96067"/>
    <w:rsid w:val="00AD6E23"/>
    <w:rsid w:val="00B51998"/>
    <w:rsid w:val="00BF2898"/>
    <w:rsid w:val="00C3388D"/>
    <w:rsid w:val="00C6020F"/>
    <w:rsid w:val="00CE62D3"/>
    <w:rsid w:val="00CF072D"/>
    <w:rsid w:val="00CF530D"/>
    <w:rsid w:val="00D0162B"/>
    <w:rsid w:val="00D941C1"/>
    <w:rsid w:val="00E207DB"/>
    <w:rsid w:val="00E80937"/>
    <w:rsid w:val="00EB6845"/>
    <w:rsid w:val="00F02D97"/>
    <w:rsid w:val="00F1204C"/>
    <w:rsid w:val="00F22835"/>
    <w:rsid w:val="00F22DE3"/>
    <w:rsid w:val="00F62257"/>
    <w:rsid w:val="00F654A8"/>
    <w:rsid w:val="00F70507"/>
    <w:rsid w:val="00F75B66"/>
    <w:rsid w:val="00FB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E4F9"/>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77"/>
    <w:rPr>
      <w:rFonts w:ascii="Segoe UI" w:hAnsi="Segoe UI" w:cs="Segoe UI"/>
      <w:sz w:val="18"/>
      <w:szCs w:val="18"/>
    </w:rPr>
  </w:style>
  <w:style w:type="paragraph" w:styleId="Header">
    <w:name w:val="header"/>
    <w:basedOn w:val="Normal"/>
    <w:link w:val="HeaderChar"/>
    <w:uiPriority w:val="99"/>
    <w:unhideWhenUsed/>
    <w:rsid w:val="00F22DE3"/>
    <w:pPr>
      <w:tabs>
        <w:tab w:val="center" w:pos="4680"/>
        <w:tab w:val="right" w:pos="9360"/>
      </w:tabs>
    </w:pPr>
  </w:style>
  <w:style w:type="character" w:customStyle="1" w:styleId="HeaderChar">
    <w:name w:val="Header Char"/>
    <w:basedOn w:val="DefaultParagraphFont"/>
    <w:link w:val="Header"/>
    <w:uiPriority w:val="99"/>
    <w:rsid w:val="00F22DE3"/>
  </w:style>
  <w:style w:type="paragraph" w:styleId="Footer">
    <w:name w:val="footer"/>
    <w:basedOn w:val="Normal"/>
    <w:link w:val="FooterChar"/>
    <w:uiPriority w:val="99"/>
    <w:unhideWhenUsed/>
    <w:rsid w:val="00F22DE3"/>
    <w:pPr>
      <w:tabs>
        <w:tab w:val="center" w:pos="4680"/>
        <w:tab w:val="right" w:pos="9360"/>
      </w:tabs>
    </w:pPr>
  </w:style>
  <w:style w:type="character" w:customStyle="1" w:styleId="FooterChar">
    <w:name w:val="Footer Char"/>
    <w:basedOn w:val="DefaultParagraphFont"/>
    <w:link w:val="Footer"/>
    <w:uiPriority w:val="99"/>
    <w:rsid w:val="00F22DE3"/>
  </w:style>
  <w:style w:type="character" w:styleId="Hyperlink">
    <w:name w:val="Hyperlink"/>
    <w:basedOn w:val="DefaultParagraphFont"/>
    <w:uiPriority w:val="99"/>
    <w:unhideWhenUsed/>
    <w:rsid w:val="006912FB"/>
    <w:rPr>
      <w:color w:val="0563C1" w:themeColor="hyperlink"/>
      <w:u w:val="single"/>
    </w:rPr>
  </w:style>
  <w:style w:type="character" w:styleId="UnresolvedMention">
    <w:name w:val="Unresolved Mention"/>
    <w:basedOn w:val="DefaultParagraphFont"/>
    <w:uiPriority w:val="99"/>
    <w:semiHidden/>
    <w:unhideWhenUsed/>
    <w:rsid w:val="00FB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yler@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4</cp:revision>
  <cp:lastPrinted>2019-03-21T14:17:00Z</cp:lastPrinted>
  <dcterms:created xsi:type="dcterms:W3CDTF">2022-04-21T20:39:00Z</dcterms:created>
  <dcterms:modified xsi:type="dcterms:W3CDTF">2022-04-21T20:44:00Z</dcterms:modified>
</cp:coreProperties>
</file>